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AECB">
      <w:pPr>
        <w:spacing w:before="156" w:beforeLines="50" w:line="360" w:lineRule="auto"/>
        <w:ind w:firstLine="560" w:firstLineChars="200"/>
        <w:rPr>
          <w:sz w:val="28"/>
          <w:szCs w:val="28"/>
        </w:rPr>
      </w:pPr>
    </w:p>
    <w:p w14:paraId="0E7377B4">
      <w:pPr>
        <w:pStyle w:val="2"/>
        <w:jc w:val="center"/>
        <w:rPr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设备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简介</w:t>
      </w:r>
    </w:p>
    <w:p w14:paraId="3C5B040C">
      <w:pPr>
        <w:pStyle w:val="2"/>
        <w:rPr>
          <w:lang w:eastAsia="zh-CN"/>
        </w:rPr>
      </w:pPr>
      <w:r>
        <w:rPr>
          <w:rFonts w:hint="eastAsia"/>
          <w:lang w:eastAsia="zh-CN"/>
        </w:rPr>
        <w:t>一、</w:t>
      </w:r>
      <w:r>
        <w:rPr>
          <w:lang w:eastAsia="zh-CN"/>
        </w:rPr>
        <w:t>珀金埃尔默高内涵筛选分析平台详细介绍</w:t>
      </w:r>
    </w:p>
    <w:p w14:paraId="0AB716FB">
      <w:pPr>
        <w:pStyle w:val="3"/>
        <w:rPr>
          <w:lang w:eastAsia="zh-CN"/>
        </w:rPr>
      </w:pPr>
      <w:r>
        <w:rPr>
          <w:rFonts w:hint="eastAsia"/>
          <w:lang w:eastAsia="zh-CN"/>
        </w:rPr>
        <w:t>（一）</w:t>
      </w:r>
      <w:r>
        <w:rPr>
          <w:lang w:eastAsia="zh-CN"/>
        </w:rPr>
        <w:t xml:space="preserve"> Opera Lx 高内涵筛选分析成像系统</w:t>
      </w:r>
    </w:p>
    <w:p w14:paraId="2CF94DC3">
      <w:r>
        <w:t>仪器定位：</w:t>
      </w:r>
      <w:r>
        <w:br w:type="textWrapping"/>
      </w:r>
      <w:r>
        <w:t>Opera Lx 是 PerkinElmer 推出的高速、高通量、高分辨率、高灵敏度成像平台，适用于细胞水平的动态过程观察与定量分析。该仪器整合自动化荧光成像与精确图像采集，帮助科研人员在活细胞与固定细胞中获得丰富、高质量、高通量的数据。</w:t>
      </w:r>
    </w:p>
    <w:p w14:paraId="7328FC9E">
      <w:pPr>
        <w:pStyle w:val="3"/>
        <w:rPr>
          <w:lang w:eastAsia="zh-CN"/>
        </w:rPr>
      </w:pPr>
      <w:r>
        <w:rPr>
          <w:lang w:eastAsia="zh-CN"/>
        </w:rPr>
        <w:t>1. 工作原理与功能特性</w:t>
      </w:r>
    </w:p>
    <w:p w14:paraId="06701DE2">
      <w:r>
        <w:t>• 多通道、高灵敏度荧光成像，支持明场、荧光与共聚焦成像模式。</w:t>
      </w:r>
      <w:r>
        <w:br w:type="textWrapping"/>
      </w:r>
      <w:r>
        <w:t>• 自动化载片与XYZ移动平台，能批量、高通量成像，适用96孔、384孔甚至1536孔板。</w:t>
      </w:r>
      <w:r>
        <w:br w:type="textWrapping"/>
      </w:r>
      <w:r>
        <w:t>• 高速低光毒性成像，保证细胞生理状态真实。</w:t>
      </w:r>
      <w:r>
        <w:br w:type="textWrapping"/>
      </w:r>
      <w:r>
        <w:t>• 空间分辨率可达亚细胞水平，清晰呈现细胞结构。</w:t>
      </w:r>
    </w:p>
    <w:p w14:paraId="16370A8C">
      <w:pPr>
        <w:pStyle w:val="3"/>
        <w:rPr>
          <w:lang w:eastAsia="zh-CN"/>
        </w:rPr>
      </w:pPr>
      <w:r>
        <w:rPr>
          <w:lang w:eastAsia="zh-CN"/>
        </w:rPr>
        <w:t>2. 应用范围</w:t>
      </w:r>
    </w:p>
    <w:p w14:paraId="589C4D1D">
      <w:r>
        <w:t>• 大规模药物筛选与毒性分析</w:t>
      </w:r>
      <w:r>
        <w:br w:type="textWrapping"/>
      </w:r>
      <w:r>
        <w:t>• 细胞信号通路与蛋白定位研究</w:t>
      </w:r>
      <w:r>
        <w:br w:type="textWrapping"/>
      </w:r>
      <w:r>
        <w:t>• 干细胞与组织培养体系中细胞分化与迁移监测</w:t>
      </w:r>
      <w:r>
        <w:br w:type="textWrapping"/>
      </w:r>
      <w:r>
        <w:t>• 多色标记与活细胞成像</w:t>
      </w:r>
    </w:p>
    <w:p w14:paraId="7F472A79">
      <w:pPr>
        <w:pStyle w:val="3"/>
        <w:rPr>
          <w:lang w:eastAsia="zh-CN"/>
        </w:rPr>
      </w:pPr>
      <w:r>
        <w:rPr>
          <w:rFonts w:hint="eastAsia"/>
          <w:lang w:eastAsia="zh-CN"/>
        </w:rPr>
        <w:t>（二）0</w:t>
      </w:r>
      <w:r>
        <w:rPr>
          <w:lang w:eastAsia="zh-CN"/>
        </w:rPr>
        <w:t>Columbus 高内涵图像处理与分析系统</w:t>
      </w:r>
    </w:p>
    <w:p w14:paraId="68355519">
      <w:r>
        <w:t>软件定位：</w:t>
      </w:r>
      <w:r>
        <w:br w:type="textWrapping"/>
      </w:r>
      <w:r>
        <w:t>Columbus 是与 Opera 系列成像平台配套使用的图像分析软件，可对批量采集的细胞图像数据自动化、高通量地提取定量信息，帮助用户获得可解释的生物学结论。</w:t>
      </w:r>
    </w:p>
    <w:p w14:paraId="610E84B6">
      <w:pPr>
        <w:pStyle w:val="3"/>
        <w:rPr>
          <w:lang w:eastAsia="zh-CN"/>
        </w:rPr>
      </w:pPr>
      <w:r>
        <w:rPr>
          <w:lang w:eastAsia="zh-CN"/>
        </w:rPr>
        <w:t>1. 功能与特性</w:t>
      </w:r>
    </w:p>
    <w:p w14:paraId="050611CA">
      <w:r>
        <w:t>• 全自动细胞分割与特征提取，包括细胞形态学、荧光强度、空间定位等指标。</w:t>
      </w:r>
      <w:r>
        <w:br w:type="textWrapping"/>
      </w:r>
      <w:r>
        <w:t>• 拖拽式界面，自定义分析流程，灵活适应不同课题需求。</w:t>
      </w:r>
      <w:r>
        <w:br w:type="textWrapping"/>
      </w:r>
      <w:r>
        <w:t>• 大数据可视化与统计分析，自动生成各类图表并支持结果导出。</w:t>
      </w:r>
      <w:r>
        <w:br w:type="textWrapping"/>
      </w:r>
      <w:r>
        <w:t>• 数据库与共享功能，支持课题组协作与远程操作。</w:t>
      </w:r>
    </w:p>
    <w:p w14:paraId="54E5136D">
      <w:pPr>
        <w:pStyle w:val="3"/>
        <w:rPr>
          <w:lang w:eastAsia="zh-CN"/>
        </w:rPr>
      </w:pPr>
      <w:r>
        <w:rPr>
          <w:lang w:eastAsia="zh-CN"/>
        </w:rPr>
        <w:t>2. 应用范围</w:t>
      </w:r>
    </w:p>
    <w:p w14:paraId="73271A68">
      <w:r>
        <w:t>• 高通量药物筛选与命中化合物筛选</w:t>
      </w:r>
      <w:r>
        <w:br w:type="textWrapping"/>
      </w:r>
      <w:r>
        <w:t>• 定量细胞成像与表型分析</w:t>
      </w:r>
      <w:r>
        <w:br w:type="textWrapping"/>
      </w:r>
      <w:r>
        <w:t>• 多通道共定位与蛋白相互作用分析</w:t>
      </w:r>
      <w:r>
        <w:br w:type="textWrapping"/>
      </w:r>
      <w:r>
        <w:t>• 细胞动力学与毒性评价，为药物作用机制研究提供数据支持</w:t>
      </w:r>
    </w:p>
    <w:p w14:paraId="17F46296">
      <w:pPr>
        <w:ind w:right="280"/>
        <w:jc w:val="left"/>
        <w:rPr>
          <w:sz w:val="28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248B0FDE">
      <w:pPr>
        <w:pStyle w:val="2"/>
        <w:rPr>
          <w:lang w:eastAsia="zh-CN"/>
        </w:rPr>
      </w:pPr>
      <w:r>
        <w:rPr>
          <w:rFonts w:hint="eastAsia"/>
          <w:lang w:eastAsia="zh-CN"/>
        </w:rPr>
        <w:t>二、</w:t>
      </w:r>
      <w:r>
        <w:rPr>
          <w:lang w:eastAsia="zh-CN"/>
        </w:rPr>
        <w:t>美国 ProteinSimple 纳米级超微量蛋白质分析系统 NanoPro 1000 详细介绍</w:t>
      </w:r>
    </w:p>
    <w:p w14:paraId="05EC8AAC">
      <w:pPr>
        <w:pStyle w:val="3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 仪器定位与原理</w:t>
      </w:r>
    </w:p>
    <w:p w14:paraId="5E90A5D9">
      <w:r>
        <w:t>NanoPro 1000（也称 Nanspro 1000）是美国 ProteinSimple 推出的一款纳米级超微量蛋白质分析系统，采用毛细管等电聚焦（cIEF）与免疫学检测相结合的创新平台，能够在纳升级别样品中实现蛋白质修饰（如磷酸化、乙酰化等）的分离与定量分析，减少样品需求量与操作误差，为蛋白质功能与信号通路研究提供极大便利。</w:t>
      </w:r>
    </w:p>
    <w:p w14:paraId="6E376CF7">
      <w:pPr>
        <w:pStyle w:val="3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性能与技术特点</w:t>
      </w:r>
    </w:p>
    <w:p w14:paraId="5F5C3897">
      <w:r>
        <w:t>1. 超低样品量：只需纳克级蛋白样品，适合稀有样品分析。</w:t>
      </w:r>
      <w:r>
        <w:br w:type="textWrapping"/>
      </w:r>
      <w:r>
        <w:t>2. 全自动一体化：集电聚焦与免疫检测于一体，减少手动操作。</w:t>
      </w:r>
      <w:r>
        <w:br w:type="textWrapping"/>
      </w:r>
      <w:r>
        <w:t>3. 超高灵敏度与精确度：可检测皮克克级蛋白，分析蛋白修饰状态与定量范围广。</w:t>
      </w:r>
      <w:r>
        <w:br w:type="textWrapping"/>
      </w:r>
      <w:r>
        <w:t>4. 高分辨率：基于等电点差异，分离蛋白质亚型与修饰形式。</w:t>
      </w:r>
      <w:r>
        <w:br w:type="textWrapping"/>
      </w:r>
      <w:r>
        <w:t>5. 自动数据分析：配套 Compass 软件可自动生成电泳图谱与相对丰度数据。</w:t>
      </w:r>
    </w:p>
    <w:p w14:paraId="6FF3D23E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 标准操作流程</w:t>
      </w:r>
    </w:p>
    <w:p w14:paraId="77D5891C">
      <w:r>
        <w:t>1. 样品前处理：配制裂解缓冲液，按比例稀释样品至纳克级浓度。</w:t>
      </w:r>
      <w:r>
        <w:br w:type="textWrapping"/>
      </w:r>
      <w:r>
        <w:t>2. 加载与上机：将试剂与样品按照说明加入试剂板，选择预设程序自动运行。</w:t>
      </w:r>
      <w:r>
        <w:br w:type="textWrapping"/>
      </w:r>
      <w:r>
        <w:t>3. 自动检测与分析：仪器自动完成电聚焦分离与化学发光成像，分析软件生成电泳图谱与相对定量结果。</w:t>
      </w:r>
    </w:p>
    <w:p w14:paraId="55F9E949"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 应用领域</w:t>
      </w:r>
    </w:p>
    <w:p w14:paraId="6F7787EF">
      <w:r>
        <w:t>1. 蛋白修饰状态分析（如磷酸化、乙酰化）。</w:t>
      </w:r>
      <w:r>
        <w:br w:type="textWrapping"/>
      </w:r>
      <w:r>
        <w:t>2. 临床与稀有样本中低丰度蛋白检测与定量。</w:t>
      </w:r>
      <w:r>
        <w:br w:type="textWrapping"/>
      </w:r>
      <w:r>
        <w:t>3. 新药筛选与蛋白信号通路研究。</w:t>
      </w:r>
      <w:r>
        <w:br w:type="textWrapping"/>
      </w:r>
      <w:r>
        <w:t>4. 疾病机制与蛋白质标志物筛选分析。</w:t>
      </w:r>
    </w:p>
    <w:p w14:paraId="7171FACB">
      <w:pPr>
        <w:pStyle w:val="2"/>
        <w:rPr>
          <w:lang w:eastAsia="zh-C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2D1E28E5">
      <w:pPr>
        <w:pStyle w:val="2"/>
      </w:pPr>
      <w:r>
        <w:rPr>
          <w:rFonts w:hint="eastAsia"/>
          <w:lang w:eastAsia="zh-CN"/>
        </w:rPr>
        <w:t>三、</w:t>
      </w:r>
      <w:r>
        <w:t>美国GE Healthcare 等电聚焦系统 (双向电泳系统) Ettan IPGphor 详细介绍</w:t>
      </w:r>
    </w:p>
    <w:p w14:paraId="7913992D">
      <w:pPr>
        <w:pStyle w:val="3"/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t>仪器定位与原理</w:t>
      </w:r>
    </w:p>
    <w:p w14:paraId="7FE85831">
      <w:r>
        <w:t>Ettan IPGphor 系统是美国GE Healthcare（现为Cytiva旗下）的经典等电聚焦仪，广泛应用于双向电泳（2-DE）的第一向电泳。其工作原理是利用蛋白质在不同pH梯度中根据等电点(pI)的差异分离蛋白质，通过干胶条上的固定pH梯度(Immobilized pH Gradient, IPG)实现蛋白质等电聚焦，为后续SDS-PAGE二维电泳提供高分辨率、高重复性的分离。</w:t>
      </w:r>
    </w:p>
    <w:p w14:paraId="0F8C51F4">
      <w:pPr>
        <w:pStyle w:val="3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主要性能与技术参数</w:t>
      </w:r>
    </w:p>
    <w:p w14:paraId="1530C4C0">
      <w:r>
        <w:t>1. 高分辨率分离：支持不同范围(pH 3–10、pH 4–7、pH 6–11等)和长度(7–24 cm)的IPG胶条，能对复杂蛋白混合物有效分离。</w:t>
      </w:r>
      <w:r>
        <w:br w:type="textWrapping"/>
      </w:r>
      <w:r>
        <w:t>2. 电泳通量：最多可同时处理12根IPG胶条，提高通量与一致性。</w:t>
      </w:r>
      <w:r>
        <w:br w:type="textWrapping"/>
      </w:r>
      <w:r>
        <w:t>3. 电流与电压程序化控制：用户可根据实验需求自定义电场梯度，实现自动聚焦，减少人为操作误差。</w:t>
      </w:r>
      <w:r>
        <w:br w:type="textWrapping"/>
      </w:r>
      <w:r>
        <w:t>4. 操作简便与数据可重复：整合预设电泳程序，保证不同批次之间结果高度一致。</w:t>
      </w:r>
      <w:r>
        <w:br w:type="textWrapping"/>
      </w:r>
    </w:p>
    <w:p w14:paraId="0AF8BBB1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 标准操作流程</w:t>
      </w:r>
    </w:p>
    <w:p w14:paraId="034522C9">
      <w:r>
        <w:t>1. 样品前处理与胶条重水化：将蛋白质样品与缓冲体系混匀，均匀分布在IPG胶条中进行重水化。</w:t>
      </w:r>
      <w:r>
        <w:br w:type="textWrapping"/>
      </w:r>
      <w:r>
        <w:t>2. 电泳程序设置：将胶条置入Ettan IPGphor仪器中，选择对应电泳程序并启动仪器，自动执行低电压预聚焦、高电压聚焦等步骤。</w:t>
      </w:r>
      <w:r>
        <w:br w:type="textWrapping"/>
      </w:r>
      <w:r>
        <w:t>3. 电泳结束与取胶：聚焦完成后取出IPG胶条，用于后续SDS-PAGE第二向电泳或直接分析。</w:t>
      </w:r>
    </w:p>
    <w:p w14:paraId="0E543650"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 应用领域</w:t>
      </w:r>
    </w:p>
    <w:p w14:paraId="4CE29AF1"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t>1. 双向电泳分离与蛋白质组学分析：Ettan IPGphor广泛应用于蛋白质组学研究中蛋白质分离与比较分析。</w:t>
      </w:r>
      <w:r>
        <w:br w:type="textWrapping"/>
      </w:r>
      <w:r>
        <w:t>2. 差异蛋白筛选与鉴定：通过对不同处理组蛋白质图谱比较，筛选差异蛋白，结合质谱实现蛋白质鉴定。</w:t>
      </w:r>
      <w:r>
        <w:br w:type="textWrapping"/>
      </w:r>
      <w:r>
        <w:t>3. 翻译后修饰与蛋白质亚型分析：实现对蛋白质不同翻译后修饰形式及亚型的有效分辨。</w:t>
      </w:r>
      <w:r>
        <w:br w:type="textWrapping"/>
      </w:r>
    </w:p>
    <w:p w14:paraId="4FB464DE"/>
    <w:p w14:paraId="036165D2">
      <w:pPr>
        <w:pStyle w:val="2"/>
        <w:rPr>
          <w:lang w:eastAsia="zh-CN"/>
        </w:rPr>
      </w:pPr>
      <w:r>
        <w:rPr>
          <w:rFonts w:hint="eastAsia"/>
          <w:lang w:eastAsia="zh-CN"/>
        </w:rPr>
        <w:t>四、</w:t>
      </w:r>
      <w:r>
        <w:rPr>
          <w:lang w:eastAsia="zh-CN"/>
        </w:rPr>
        <w:t>全自动蛋白质表达分析系统 Wes 详细介绍</w:t>
      </w:r>
    </w:p>
    <w:p w14:paraId="4A8BD665">
      <w:pPr>
        <w:pStyle w:val="3"/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t>仪器定位与原理</w:t>
      </w:r>
    </w:p>
    <w:p w14:paraId="71ACC7DD">
      <w:r>
        <w:t>Wes 是 ProteinSimple（现为 Bio-Techne 旗下）推出的全自动蛋白质表达分析平台，属于 Simple Western 系列仪器之一。该系统采用毛细管电泳与免疫学检测相结合的原理，整合了传统 Western blot 的蛋白质分离、固定、免疫识别和化学发光检测步骤，可自动实现蛋白质从电泳分离到结果成像分析的完整流程，显著提高操作效率与数据可重复性。</w:t>
      </w:r>
    </w:p>
    <w:p w14:paraId="0C7C6E10">
      <w:pPr>
        <w:pStyle w:val="3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主要性能与技术特点</w:t>
      </w:r>
    </w:p>
    <w:p w14:paraId="1C970A32">
      <w:r>
        <w:t>1. 全自动操作：只需上样、加试剂，上机后仪器自动完成蛋白分离、免疫反应与成像检测，减少人为误差。</w:t>
      </w:r>
      <w:r>
        <w:br w:type="textWrapping"/>
      </w:r>
      <w:r>
        <w:t>2. 样品量极少：每通道只需约3–5 µL蛋白样品，适用于珍贵样本。</w:t>
      </w:r>
      <w:r>
        <w:br w:type="textWrapping"/>
      </w:r>
      <w:r>
        <w:t>3. 高灵敏度与定量范围广：可检测低丰度蛋白，获得精准的相对定量信息。</w:t>
      </w:r>
      <w:r>
        <w:br w:type="textWrapping"/>
      </w:r>
      <w:r>
        <w:t>4. 多通量与标准化：一次可分析最多25个样品通道，减少批间差异，获得一致性数据。</w:t>
      </w:r>
      <w:r>
        <w:br w:type="textWrapping"/>
      </w:r>
      <w:r>
        <w:t>5. 自动数据分析：配套 Compass 软件自动生成电泳曲线、化学发光图与相对蛋白量，节省数据处理时间。</w:t>
      </w:r>
    </w:p>
    <w:p w14:paraId="696EE459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 标准操作流程</w:t>
      </w:r>
    </w:p>
    <w:p w14:paraId="5E3B0F69">
      <w:r>
        <w:t>1. 样品准备：将蛋白裂解液与上样缓冲液按比例混合，加入标准蛋白与预稀释一、二抗。</w:t>
      </w:r>
      <w:r>
        <w:br w:type="textWrapping"/>
      </w:r>
      <w:r>
        <w:t>2. 加载与启动：将混合样品与试剂板按仪器要求加样，上机选择对应程序，启动自动化操作。</w:t>
      </w:r>
      <w:r>
        <w:br w:type="textWrapping"/>
      </w:r>
      <w:r>
        <w:t>3. 分析与出图：仪器自动执行电泳分离、蛋白固定、免疫反应与成像，软件自动输出电泳图谱与定量分析数据。</w:t>
      </w:r>
    </w:p>
    <w:p w14:paraId="1ACB0A43"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 应用范围</w:t>
      </w:r>
    </w:p>
    <w:p w14:paraId="7A555B04">
      <w:r>
        <w:t>1. 蛋白表达量比较与定量分析</w:t>
      </w:r>
      <w:r>
        <w:br w:type="textWrapping"/>
      </w:r>
      <w:r>
        <w:t>2. 翻译后修饰状态检测（如蛋白磷酸化、乙酰化等）</w:t>
      </w:r>
      <w:r>
        <w:br w:type="textWrapping"/>
      </w:r>
      <w:r>
        <w:t>3. 临床组织与稀有细胞中蛋白靶标验证</w:t>
      </w:r>
      <w:r>
        <w:br w:type="textWrapping"/>
      </w:r>
      <w:r>
        <w:t>4. 药物筛选与药效机制研究</w:t>
      </w:r>
      <w:r>
        <w:br w:type="textWrapping"/>
      </w:r>
      <w:r>
        <w:t>5. 高通量蛋白质组学前期筛选与功能研究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CD"/>
    <w:rsid w:val="0005293C"/>
    <w:rsid w:val="00093BC5"/>
    <w:rsid w:val="001116CD"/>
    <w:rsid w:val="001A71C2"/>
    <w:rsid w:val="0024130E"/>
    <w:rsid w:val="00265993"/>
    <w:rsid w:val="00280D66"/>
    <w:rsid w:val="002B6839"/>
    <w:rsid w:val="003B39F0"/>
    <w:rsid w:val="003E1A76"/>
    <w:rsid w:val="00400A7C"/>
    <w:rsid w:val="005A62F1"/>
    <w:rsid w:val="00604AE1"/>
    <w:rsid w:val="007E3282"/>
    <w:rsid w:val="007E3806"/>
    <w:rsid w:val="007E5020"/>
    <w:rsid w:val="00927A77"/>
    <w:rsid w:val="009A43E9"/>
    <w:rsid w:val="00AF5DB5"/>
    <w:rsid w:val="00CC12E9"/>
    <w:rsid w:val="00DA23ED"/>
    <w:rsid w:val="00DF69CD"/>
    <w:rsid w:val="00ED65B4"/>
    <w:rsid w:val="00FE6C55"/>
    <w:rsid w:val="137E6996"/>
    <w:rsid w:val="3D74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eastAsia="en-US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eastAsia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2"/>
      <w:lang w:eastAsia="en-US"/>
      <w14:textFill>
        <w14:solidFill>
          <w14:schemeClr w14:val="accent1"/>
        </w14:solidFill>
      </w14:textFill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eastAsia="en-US"/>
    </w:rPr>
  </w:style>
  <w:style w:type="character" w:customStyle="1" w:styleId="9">
    <w:name w:val="标题 2 字符"/>
    <w:basedOn w:val="7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eastAsia="en-US"/>
      <w14:textFill>
        <w14:solidFill>
          <w14:schemeClr w14:val="accent1"/>
        </w14:solidFill>
      </w14:textFill>
    </w:rPr>
  </w:style>
  <w:style w:type="character" w:customStyle="1" w:styleId="10">
    <w:name w:val="标题 3 字符"/>
    <w:basedOn w:val="7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  <w:kern w:val="0"/>
      <w:sz w:val="22"/>
      <w:lang w:eastAsia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2871</Words>
  <Characters>3387</Characters>
  <Lines>25</Lines>
  <Paragraphs>7</Paragraphs>
  <TotalTime>14</TotalTime>
  <ScaleCrop>false</ScaleCrop>
  <LinksUpToDate>false</LinksUpToDate>
  <CharactersWithSpaces>3517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2025-07-01T00:51:00Z</dcterms:created>
  <dc:creator>曹成亮</dc:creator>
  <cp:lastModifiedBy>力上加力</cp:lastModifiedBy>
  <dcterms:modified xsi:type="dcterms:W3CDTF">2025-07-01T08:44:02Z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eyJoZGlkIjoiMjZmYmM5MWVlYWQzYTI1NDdmNjJjMDBlZmZlZWI1MWQiLCJ1c2VySWQiOiI3MjgyMDQxMDUifQ==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E6D123CB84C04640B4125CE5082DFF1F_12</vt:lpwstr>
  </property>
</Properties>
</file>